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rPr>
          <w:b/>
          <w:bCs/>
        </w:rPr>
      </w:pPr>
      <w: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4707255</wp:posOffset>
            </wp:positionH>
            <wp:positionV relativeFrom="paragraph">
              <wp:posOffset>38100</wp:posOffset>
            </wp:positionV>
            <wp:extent cx="1392555" cy="1333500"/>
            <wp:effectExtent l="0" t="0" r="0" b="0"/>
            <wp:wrapTopAndBottom/>
            <wp:docPr id="1" name="Graf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PRESSEMITTEILUNG </w:t>
      </w:r>
    </w:p>
    <w:p>
      <w:pPr>
        <w:pStyle w:val="Normal"/>
        <w:bidi w:val="0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rPr>
          <w:rFonts w:ascii="Times New Roman" w:hAnsi="Times New Roman" w:eastAsia="Times New Roman" w:cs="Times New Roman"/>
          <w:b w:val="false"/>
          <w:bCs w:val="false"/>
          <w:sz w:val="24"/>
          <w:szCs w:val="24"/>
          <w:lang w:val="de-DE"/>
        </w:rPr>
      </w:pPr>
      <w:r>
        <w:rPr>
          <w:rFonts w:eastAsia="Times New Roman" w:cs="Times New Roman"/>
          <w:b w:val="false"/>
          <w:bCs w:val="false"/>
          <w:sz w:val="24"/>
          <w:szCs w:val="24"/>
          <w:lang w:val="de-DE"/>
        </w:rPr>
      </w:r>
    </w:p>
    <w:p>
      <w:pPr>
        <w:pStyle w:val="Normal"/>
        <w:bidi w:val="0"/>
        <w:ind w:hanging="0" w:start="0" w:end="0"/>
        <w:rPr>
          <w:rFonts w:ascii="Times New Roman" w:hAnsi="Times New Roman" w:eastAsia="Times New Roman" w:cs="Times New Roman"/>
          <w:b/>
          <w:bCs/>
          <w:sz w:val="24"/>
          <w:szCs w:val="24"/>
          <w:lang w:val="de-DE"/>
        </w:rPr>
      </w:pPr>
      <w:r>
        <w:rPr>
          <w:rFonts w:eastAsia="Times New Roman" w:cs="Times New Roman"/>
          <w:b/>
          <w:bCs/>
          <w:sz w:val="24"/>
          <w:szCs w:val="24"/>
          <w:lang w:val="de-DE"/>
        </w:rPr>
        <w:t xml:space="preserve">Krimi-Spannung im Vorbeigehen: </w:t>
        <w:br/>
      </w:r>
      <w:r>
        <w:rPr>
          <w:rFonts w:eastAsia="Times New Roman" w:cs="Times New Roman"/>
          <w:b/>
          <w:bCs/>
          <w:sz w:val="24"/>
          <w:szCs w:val="24"/>
          <w:lang w:val="de-DE"/>
        </w:rPr>
        <w:t>Karl-Heinz Brinkmann</w:t>
      </w:r>
      <w:r>
        <w:rPr>
          <w:rFonts w:eastAsia="Times New Roman" w:cs="Times New Roman"/>
          <w:b/>
          <w:bCs/>
          <w:sz w:val="24"/>
          <w:szCs w:val="24"/>
          <w:lang w:val="de-DE"/>
        </w:rPr>
        <w:t xml:space="preserve"> startet den „Pop-up-Krimi“ in der Region</w:t>
      </w:r>
    </w:p>
    <w:p>
      <w:pPr>
        <w:pStyle w:val="Normal"/>
        <w:bidi w:val="0"/>
        <w:ind w:hanging="0" w:start="0" w:end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bidi w:val="0"/>
        <w:ind w:hanging="0" w:start="0" w:end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Nach dem erfolgreichen Auftakt des 1. Kehdinger Autoren-Festivals im Mai auf der Bootswerft Hatecke setzt d</w:t>
      </w:r>
      <w:r>
        <w:rPr>
          <w:sz w:val="24"/>
          <w:szCs w:val="24"/>
        </w:rPr>
        <w:t>er</w:t>
      </w:r>
      <w:r>
        <w:rPr>
          <w:sz w:val="24"/>
          <w:szCs w:val="24"/>
        </w:rPr>
        <w:t xml:space="preserve"> lokale Autor </w:t>
      </w:r>
      <w:r>
        <w:rPr>
          <w:sz w:val="24"/>
          <w:szCs w:val="24"/>
        </w:rPr>
        <w:t>Karl-Heinz Brinkmann</w:t>
      </w:r>
      <w:r>
        <w:rPr>
          <w:sz w:val="24"/>
          <w:szCs w:val="24"/>
        </w:rPr>
        <w:t xml:space="preserve"> nun auf ein völlig neues Veranstaltungsformat: den „</w:t>
      </w:r>
      <w:r>
        <w:rPr>
          <w:b/>
          <w:sz w:val="24"/>
          <w:szCs w:val="24"/>
        </w:rPr>
        <w:t>Pop-up-Krimi“</w:t>
      </w:r>
      <w:r>
        <w:rPr>
          <w:sz w:val="24"/>
          <w:szCs w:val="24"/>
        </w:rPr>
        <w:t>. Kurze, intensive Lesungen an ungewöhnlichen Orten sollen das Genre Krimi dort erlebbar machen, wo man es am wenigsten erwartet.</w:t>
      </w:r>
    </w:p>
    <w:p>
      <w:pPr>
        <w:pStyle w:val="BodyText"/>
        <w:rPr/>
      </w:pPr>
      <w:r>
        <w:rPr/>
        <w:t>„</w:t>
      </w:r>
      <w:r>
        <w:rPr/>
        <w:t xml:space="preserve">Spannung braucht keinen großen Saal, sie braucht nur den richtigen Moment“, erklärt </w:t>
      </w:r>
      <w:r>
        <w:rPr/>
        <w:t>Brinkmann sein</w:t>
      </w:r>
      <w:r>
        <w:rPr/>
        <w:t xml:space="preserve"> Konzept. Die Idee hinter dem Pop-up-Krimi ist so simpel wie effektiv: Statt einer klassischen, abendfüllenden Lesung bietet d</w:t>
      </w:r>
      <w:r>
        <w:rPr/>
        <w:t>er Autor</w:t>
      </w:r>
      <w:r>
        <w:rPr/>
        <w:t xml:space="preserve"> „literarische Quickies“ von etwa 20 Minuten an. Das Besondere: Die Lesungen tauchen dort auf, wo Menschen bereits zusammenkommen – in Cafés, Werkstätten, </w:t>
      </w:r>
      <w:r>
        <w:rPr/>
        <w:t>Weink</w:t>
      </w:r>
      <w:r>
        <w:rPr/>
        <w:t>ellern oder auf Festen.</w:t>
      </w:r>
    </w:p>
    <w:p>
      <w:pPr>
        <w:pStyle w:val="BodyText"/>
        <w:rPr/>
      </w:pPr>
      <w:r>
        <w:rPr>
          <w:b/>
        </w:rPr>
        <w:t>Kurzer Prozess statt langer Vorrede</w:t>
      </w:r>
    </w:p>
    <w:p>
      <w:pPr>
        <w:pStyle w:val="BodyText"/>
        <w:rPr/>
      </w:pPr>
      <w:r>
        <w:rPr/>
        <w:t>Das Format reagiert auf die moderne Eventkultur. „Viele Menschen haben Lust auf Kultur, aber nicht immer die Zeit für eine zweistündige Veranstaltung“, so d</w:t>
      </w:r>
      <w:r>
        <w:rPr/>
        <w:t>er Autor</w:t>
      </w:r>
      <w:r>
        <w:rPr/>
        <w:t xml:space="preserve"> weiter. Der Pop-up-Krimi ist als exklusives Highlight konzipiert, das sich flexibel in bestehende Events oder den Gastronomie-Alltag integrieren lässt. Die Premiere im Rahmen des Autoren-Festivals in Freiburg hat gezeigt, dass die Kombination aus atmosphärischem Ort und fokussierter Lesung das Publikum begeistert – rund 60 Gäste lauschten dort bereits gebannt in der maritimen Kulisse der Werft.</w:t>
      </w:r>
    </w:p>
    <w:p>
      <w:pPr>
        <w:pStyle w:val="BodyText"/>
        <w:rPr/>
      </w:pPr>
      <w:r>
        <w:rPr>
          <w:b/>
        </w:rPr>
        <w:t>Buchbar für Events und Gastronomie</w:t>
      </w:r>
    </w:p>
    <w:p>
      <w:pPr>
        <w:pStyle w:val="BodyText"/>
        <w:rPr/>
      </w:pPr>
      <w:r>
        <w:rPr/>
        <w:t>Ab sofort ist das Format für Veranstalter, Gastronomen und Firmen in der gesamten Elbe-</w:t>
      </w:r>
      <w:r>
        <w:rPr/>
        <w:t>Weser-Dreieck</w:t>
      </w:r>
      <w:r>
        <w:rPr/>
        <w:t xml:space="preserve"> und darüber hinaus buchbar. Ob als „Mittagspause des Grauens“ für Betriebe, als spannendes Intermezzo bei Stadtfesten oder als atmosphärische Aufwertung für Restaurantabende – der Pop-up-Krimi ist mobil und benötigt kaum technische Voraussetzungen.</w:t>
      </w:r>
    </w:p>
    <w:p>
      <w:pPr>
        <w:pStyle w:val="BodyText"/>
        <w:rPr/>
      </w:pPr>
      <w:r>
        <w:rPr>
          <w:b/>
        </w:rPr>
        <w:t>Über d</w:t>
      </w:r>
      <w:r>
        <w:rPr>
          <w:b/>
        </w:rPr>
        <w:t>en Autor</w:t>
      </w:r>
    </w:p>
    <w:p>
      <w:pPr>
        <w:pStyle w:val="BodyText"/>
        <w:rPr/>
      </w:pPr>
      <w:r>
        <w:rPr/>
        <w:t>Karl-Heinz Brinkmann</w:t>
      </w:r>
      <w:r>
        <w:rPr/>
        <w:t xml:space="preserve"> ist bekannt für </w:t>
      </w:r>
      <w:r>
        <w:rPr/>
        <w:t>seine</w:t>
      </w:r>
      <w:r>
        <w:rPr/>
        <w:t xml:space="preserve"> packenden Kriminalgeschichten mit regionalem Bezug. Mit dem Pop-up-Krimi schlägt </w:t>
      </w:r>
      <w:r>
        <w:rPr/>
        <w:t>er</w:t>
      </w:r>
      <w:r>
        <w:rPr/>
        <w:t xml:space="preserve"> nun eine Brücke zwischen klassischer Literatur und modernem Event-Marketing.</w:t>
      </w:r>
    </w:p>
    <w:p>
      <w:pPr>
        <w:pStyle w:val="Normal"/>
        <w:bidi w:val="0"/>
        <w:ind w:hanging="0" w:start="0" w:end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bidi w:val="0"/>
        <w:ind w:hanging="0" w:start="0" w:end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bidi w:val="0"/>
        <w:jc w:val="start"/>
        <w:rPr>
          <w:rFonts w:ascii="Times New Roman" w:hAnsi="Times New Roman" w:eastAsia="Times New Roman" w:cs="Times New Roman"/>
          <w:sz w:val="22"/>
          <w:szCs w:val="22"/>
          <w:lang w:val="de-DE"/>
        </w:rPr>
      </w:pPr>
      <w:r>
        <w:rPr>
          <w:rFonts w:eastAsia="Times New Roman" w:cs="Times New Roman"/>
          <w:sz w:val="22"/>
          <w:szCs w:val="22"/>
          <w:lang w:val="de-DE"/>
        </w:rPr>
        <w:t>Für weitere Informationen oder Interviewanfragen mit dem Autor wenden Sie sich bitte an:</w:t>
      </w:r>
    </w:p>
    <w:p>
      <w:pPr>
        <w:pStyle w:val="BodyText"/>
        <w:bidi w:val="0"/>
        <w:ind w:hanging="0" w:start="0" w:end="0"/>
        <w:rPr>
          <w:rFonts w:ascii="Times New Roman" w:hAnsi="Times New Roman" w:eastAsia="Times New Roman" w:cs="Times New Roman"/>
          <w:sz w:val="24"/>
          <w:szCs w:val="24"/>
          <w:lang w:val="de-DE"/>
        </w:rPr>
      </w:pPr>
      <w:r>
        <w:rPr>
          <w:rFonts w:eastAsia="Times New Roman" w:cs="Times New Roman"/>
          <w:sz w:val="24"/>
          <w:szCs w:val="24"/>
          <w:lang w:val="de-DE"/>
        </w:rPr>
        <w:t>Der Oestinger</w:t>
        <w:br/>
        <w:t xml:space="preserve">Karl-Heinz Brinkmann, </w:t>
      </w:r>
    </w:p>
    <w:p>
      <w:pPr>
        <w:pStyle w:val="Normal"/>
        <w:bidi w:val="0"/>
        <w:ind w:hanging="0" w:start="0" w:end="0"/>
        <w:rPr/>
      </w:pPr>
      <w:r>
        <w:rPr>
          <w:rFonts w:eastAsia="Times New Roman" w:cs="Times New Roman"/>
          <w:sz w:val="24"/>
          <w:szCs w:val="24"/>
          <w:lang w:val="de-DE"/>
        </w:rPr>
        <w:t xml:space="preserve">Telefon: </w:t>
      </w:r>
      <w:r>
        <w:rPr>
          <w:rFonts w:eastAsia="Times New Roman" w:cs="Times New Roman"/>
          <w:sz w:val="22"/>
          <w:szCs w:val="22"/>
          <w:lang w:val="de-DE"/>
        </w:rPr>
        <w:t>01590-8612604</w:t>
        <w:br/>
        <w:t xml:space="preserve">E-Mail: </w:t>
      </w:r>
      <w:hyperlink r:id="rId3">
        <w:r>
          <w:rPr>
            <w:rStyle w:val="Hyperlink"/>
          </w:rPr>
          <w:t>autor@der-oestinger.de</w:t>
        </w:r>
      </w:hyperlink>
      <w:r>
        <w:rPr>
          <w:rFonts w:eastAsia="Times New Roman" w:cs="Times New Roman"/>
          <w:sz w:val="22"/>
          <w:szCs w:val="22"/>
          <w:lang w:val="de-DE"/>
        </w:rPr>
        <w:br/>
        <w:t xml:space="preserve">Internet: </w:t>
      </w:r>
      <w:hyperlink r:id="rId4">
        <w:r>
          <w:rPr>
            <w:rStyle w:val="Hyperlink"/>
          </w:rPr>
          <w:t>https://der-oestinger.de</w:t>
        </w:r>
      </w:hyperlink>
      <w:r>
        <w:rPr>
          <w:rFonts w:eastAsia="Times New Roman" w:cs="Times New Roman"/>
          <w:sz w:val="22"/>
          <w:szCs w:val="22"/>
          <w:lang w:val="de-DE"/>
        </w:rPr>
        <w:t xml:space="preserve">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hyphenationZone w:val="0"/>
  <w:compat>
    <w:adjustLineHeightInTable/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kern w:val="2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Times New Roman" w:hAnsi="Times New Roman" w:eastAsia="SimSun" w:cs="Lucida Sans"/>
      <w:color w:val="auto"/>
      <w:kern w:val="2"/>
      <w:sz w:val="24"/>
      <w:szCs w:val="24"/>
      <w:lang w:val="de-DE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Funotenzeichenuser">
    <w:name w:val="Fußnotenzeichen (user)"/>
    <w:qFormat/>
    <w:rPr/>
  </w:style>
  <w:style w:type="character" w:styleId="Endnotenzeichenuser">
    <w:name w:val="Endnotenzeichen (user)"/>
    <w:qFormat/>
    <w:rPr/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Lucida Sans"/>
    </w:rPr>
  </w:style>
  <w:style w:type="paragraph" w:styleId="Listeninhaltuser">
    <w:name w:val="Listeninhalt (user)"/>
    <w:basedOn w:val="Normal"/>
    <w:qFormat/>
    <w:pPr>
      <w:ind w:hanging="0" w:start="567" w:end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utor@der-oestinger.de" TargetMode="External"/><Relationship Id="rId4" Type="http://schemas.openxmlformats.org/officeDocument/2006/relationships/hyperlink" Target="https://www.der-oestinger.de/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57</TotalTime>
  <Application>LibreOffice/26.2.2.2$Windows_X86_64 LibreOffice_project/1f77d10d6938fd34972958f64b2bcfa54f8b1ba5</Application>
  <AppVersion>15.0000</AppVersion>
  <Pages>1</Pages>
  <Words>302</Words>
  <Characters>1978</Characters>
  <CharactersWithSpaces>2274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2026-05-10T07:51:38Z</dcterms:created>
  <dc:creator/>
  <dc:description/>
  <dc:language>de-DE</dc:language>
  <cp:lastModifiedBy/>
  <dcterms:modified xsi:type="dcterms:W3CDTF">2026-05-10T08:00:43Z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